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FC6A" w14:textId="54C6768C" w:rsidR="00373033" w:rsidRDefault="003730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F7DD4" wp14:editId="5BE60EC5">
                <wp:simplePos x="0" y="0"/>
                <wp:positionH relativeFrom="column">
                  <wp:posOffset>-304800</wp:posOffset>
                </wp:positionH>
                <wp:positionV relativeFrom="paragraph">
                  <wp:posOffset>-419735</wp:posOffset>
                </wp:positionV>
                <wp:extent cx="2324100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99E6A" w14:textId="3326341A" w:rsidR="00373033" w:rsidRPr="00373033" w:rsidRDefault="003730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7303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Using CTTCS Rubrics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F7D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-33.05pt;width:183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" filled="f" stroked="f" strokeweight=".5pt">
                <v:textbox>
                  <w:txbxContent>
                    <w:p w14:paraId="48A99E6A" w14:textId="3326341A" w:rsidR="00373033" w:rsidRPr="00373033" w:rsidRDefault="0037303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7303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Using CTTCS Rubrics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5C440761" wp14:editId="764B4C70">
            <wp:simplePos x="0" y="0"/>
            <wp:positionH relativeFrom="page">
              <wp:posOffset>-22860</wp:posOffset>
            </wp:positionH>
            <wp:positionV relativeFrom="page">
              <wp:posOffset>22860</wp:posOffset>
            </wp:positionV>
            <wp:extent cx="7786800" cy="10069200"/>
            <wp:effectExtent l="0" t="0" r="5080" b="8255"/>
            <wp:wrapNone/>
            <wp:docPr id="1" name="Picture 1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squar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800" cy="1006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914DC" w14:textId="0140003A" w:rsidR="00373033" w:rsidRDefault="00373033"/>
    <w:p w14:paraId="58DF7385" w14:textId="77777777" w:rsidR="00F333C9" w:rsidRDefault="00F333C9">
      <w:r>
        <w:rPr>
          <w:noProof/>
        </w:rPr>
        <w:drawing>
          <wp:anchor distT="0" distB="0" distL="114300" distR="114300" simplePos="0" relativeHeight="251660288" behindDoc="1" locked="0" layoutInCell="1" allowOverlap="1" wp14:anchorId="272152E7" wp14:editId="099E09FC">
            <wp:simplePos x="0" y="0"/>
            <wp:positionH relativeFrom="margin">
              <wp:align>right</wp:align>
            </wp:positionH>
            <wp:positionV relativeFrom="paragraph">
              <wp:posOffset>389255</wp:posOffset>
            </wp:positionV>
            <wp:extent cx="59436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531" y="21465"/>
                <wp:lineTo x="21531" y="0"/>
                <wp:lineTo x="0" y="0"/>
              </wp:wrapPolygon>
            </wp:wrapTight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 is the Grade 7 CTTCS Rubric for adding and subtracting fractions.</w:t>
      </w:r>
    </w:p>
    <w:p w14:paraId="62EF2194" w14:textId="77777777" w:rsidR="00F333C9" w:rsidRDefault="00F333C9"/>
    <w:p w14:paraId="025BBC1B" w14:textId="77777777" w:rsidR="00F333C9" w:rsidRDefault="00F333C9"/>
    <w:p w14:paraId="5F5CA819" w14:textId="467C4F0A" w:rsidR="005C243D" w:rsidRDefault="00F333C9">
      <w:r>
        <w:t xml:space="preserve"> </w:t>
      </w:r>
      <w:r w:rsidR="00F516B8" w:rsidRPr="00F516B8">
        <w:t xml:space="preserve">The final grading of K-9 students is done using the </w:t>
      </w:r>
      <w:r w:rsidR="00F516B8" w:rsidRPr="00F516B8">
        <w:rPr>
          <w:b/>
        </w:rPr>
        <w:t xml:space="preserve">CTTCS </w:t>
      </w:r>
      <w:proofErr w:type="gramStart"/>
      <w:r w:rsidR="00F516B8" w:rsidRPr="00F516B8">
        <w:rPr>
          <w:b/>
        </w:rPr>
        <w:t>rubrics</w:t>
      </w:r>
      <w:r w:rsidR="00F516B8" w:rsidRPr="00F516B8">
        <w:t>.</w:t>
      </w:r>
      <w:r w:rsidR="00F516B8">
        <w:t>.</w:t>
      </w:r>
      <w:proofErr w:type="gramEnd"/>
      <w:r w:rsidR="00F516B8">
        <w:t xml:space="preserve"> These</w:t>
      </w:r>
      <w:r w:rsidR="00E609A0">
        <w:t xml:space="preserve"> rubrics are not as holistic as the provincial rubrics, as they are used to assess each outcome, whereas the provincial rubric gives an overall snapshot of the student’s math ability</w:t>
      </w:r>
      <w:r w:rsidR="005C0E9D">
        <w:t xml:space="preserve"> over the course of the year</w:t>
      </w:r>
      <w:r w:rsidR="00E609A0">
        <w:t xml:space="preserve">. In </w:t>
      </w:r>
      <w:proofErr w:type="gramStart"/>
      <w:r w:rsidR="00E609A0">
        <w:t>general</w:t>
      </w:r>
      <w:proofErr w:type="gramEnd"/>
      <w:r w:rsidR="00E609A0">
        <w:t xml:space="preserve"> though, grade level expectations</w:t>
      </w:r>
      <w:r w:rsidR="005C0E9D">
        <w:t xml:space="preserve"> on both rubrics </w:t>
      </w:r>
      <w:r w:rsidR="00E609A0">
        <w:t xml:space="preserve">are that students can independently choose and apply </w:t>
      </w:r>
      <w:r w:rsidR="00517DCB">
        <w:t xml:space="preserve">efficient </w:t>
      </w:r>
      <w:r w:rsidR="00E609A0">
        <w:t xml:space="preserve">strategies and justify reasoning.  </w:t>
      </w:r>
    </w:p>
    <w:p w14:paraId="33F57166" w14:textId="6A0C3776" w:rsidR="005C0E9D" w:rsidRDefault="005C0E9D"/>
    <w:p w14:paraId="71B888CC" w14:textId="20EFA064" w:rsidR="005C0E9D" w:rsidRDefault="005C0E9D">
      <w:r>
        <w:t xml:space="preserve">The Saskatchewan Common Math Assessments (SCMA) have rubrics created in a different </w:t>
      </w:r>
      <w:proofErr w:type="gramStart"/>
      <w:r>
        <w:t>philosophy,</w:t>
      </w:r>
      <w:proofErr w:type="gramEnd"/>
      <w:r>
        <w:t xml:space="preserve"> judging “levels” (1,2,3,4) based on the complexity of the question.  The SCMAs </w:t>
      </w:r>
      <w:r w:rsidR="00F516B8">
        <w:t xml:space="preserve">help clarify grade-level performance expectations, </w:t>
      </w:r>
      <w:r>
        <w:t xml:space="preserve">are a great source of formative or summative product information, and certainly the difficulty of the questions gives us information about a student’s ability; however, they are only one source of information in the form of product. They contribute to our decisions of where to place a student on the CTTCS rubric, but that decision is also based on formative assessment data, entrance and exit slips, </w:t>
      </w:r>
      <w:r w:rsidR="005365DA">
        <w:t xml:space="preserve">independent practice, small group work, and especially time at the teacher table spent conferring with the teacher, explaining </w:t>
      </w:r>
      <w:proofErr w:type="gramStart"/>
      <w:r w:rsidR="005365DA">
        <w:t>strategies</w:t>
      </w:r>
      <w:proofErr w:type="gramEnd"/>
      <w:r w:rsidR="005365DA">
        <w:t xml:space="preserve"> and justifying thinking.  Notice that students need to demonstrate skills </w:t>
      </w:r>
      <w:r w:rsidR="005365DA" w:rsidRPr="00517DCB">
        <w:rPr>
          <w:i/>
          <w:iCs/>
        </w:rPr>
        <w:t>concretely and/or pictorially</w:t>
      </w:r>
      <w:r w:rsidR="005365DA">
        <w:t xml:space="preserve"> as part of the assessment criteria for several outcomes, necessitating a teacher observing students using manipulatives or drawing and explaining on dry erase boards, and demonstrating pictorially. </w:t>
      </w:r>
    </w:p>
    <w:p w14:paraId="13D90444" w14:textId="0785564F" w:rsidR="005365DA" w:rsidRDefault="005365DA"/>
    <w:p w14:paraId="214CD19E" w14:textId="23E8E4B6" w:rsidR="005365DA" w:rsidRDefault="005365DA">
      <w:r>
        <w:t xml:space="preserve">Students cannot be graded on their achievement of an outcome </w:t>
      </w:r>
      <w:r w:rsidR="00517DCB">
        <w:t xml:space="preserve">solely </w:t>
      </w:r>
      <w:r>
        <w:t xml:space="preserve">based on their performance on a </w:t>
      </w:r>
      <w:r w:rsidR="00F7577A">
        <w:t xml:space="preserve">SCMA pre or post test. </w:t>
      </w:r>
    </w:p>
    <w:p w14:paraId="389ADF6D" w14:textId="287A331D" w:rsidR="00F516B8" w:rsidRDefault="00F516B8"/>
    <w:p w14:paraId="7307A331" w14:textId="1C882A6C" w:rsidR="00F516B8" w:rsidRDefault="00F516B8">
      <w:r>
        <w:t>Assessment criteria should be shared with students.  It is good practice to go over the rubric at the start of a unit of study/outcome.</w:t>
      </w:r>
    </w:p>
    <w:sectPr w:rsidR="00F51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33"/>
    <w:rsid w:val="00373033"/>
    <w:rsid w:val="00517DCB"/>
    <w:rsid w:val="005365DA"/>
    <w:rsid w:val="005C0E9D"/>
    <w:rsid w:val="005C243D"/>
    <w:rsid w:val="00E609A0"/>
    <w:rsid w:val="00F333C9"/>
    <w:rsid w:val="00F516B8"/>
    <w:rsid w:val="00F7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93DD"/>
  <w15:chartTrackingRefBased/>
  <w15:docId w15:val="{577D0407-AB07-4490-B756-708CBA00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dcterms:created xsi:type="dcterms:W3CDTF">2022-04-06T21:05:00Z</dcterms:created>
  <dcterms:modified xsi:type="dcterms:W3CDTF">2022-11-03T20:58:00Z</dcterms:modified>
</cp:coreProperties>
</file>