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77" w:rsidRDefault="0083359C" w:rsidP="00A85348">
      <w:pPr>
        <w:rPr>
          <w:b/>
        </w:rPr>
      </w:pPr>
      <w:r w:rsidRPr="0023479A">
        <w:rPr>
          <w:b/>
        </w:rPr>
        <w:t>Outcome N</w:t>
      </w:r>
      <w:r w:rsidR="00A85348">
        <w:rPr>
          <w:b/>
        </w:rPr>
        <w:t>1.1  Say the whole number sequence, 0 to 100, by:</w:t>
      </w:r>
    </w:p>
    <w:p w:rsidR="00A85348" w:rsidRDefault="00A85348" w:rsidP="00A85348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1s forward and backward between any two given numbers</w:t>
      </w:r>
    </w:p>
    <w:p w:rsidR="00A85348" w:rsidRDefault="00A85348" w:rsidP="00A85348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2s to 20, forward starting at 0</w:t>
      </w:r>
    </w:p>
    <w:p w:rsidR="00A85348" w:rsidRDefault="00A85348" w:rsidP="00A85348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5s and 10s to 100, forward starting at 0</w:t>
      </w:r>
    </w:p>
    <w:p w:rsidR="008076AB" w:rsidRPr="008076AB" w:rsidRDefault="008076AB" w:rsidP="008076AB">
      <w:pPr>
        <w:jc w:val="center"/>
        <w:rPr>
          <w:b/>
        </w:rPr>
      </w:pPr>
      <w:r>
        <w:rPr>
          <w:b/>
        </w:rPr>
        <w:t>PRE AND POST-ASSESSMENT</w:t>
      </w:r>
    </w:p>
    <w:p w:rsidR="00022313" w:rsidRDefault="00022313" w:rsidP="009C6C31">
      <w:r>
        <w:rPr>
          <w:b/>
        </w:rPr>
        <w:t>Task 1(Oral Assessment) -</w:t>
      </w:r>
      <w:r>
        <w:t xml:space="preserve"> </w:t>
      </w:r>
      <w:r w:rsidRPr="00022313">
        <w:t>Ask the student to begin counting at a</w:t>
      </w:r>
      <w:r w:rsidR="00710131">
        <w:t>ny</w:t>
      </w:r>
      <w:r w:rsidRPr="00022313">
        <w:t xml:space="preserve"> given number</w:t>
      </w:r>
      <w:r w:rsidR="00710131">
        <w:t xml:space="preserve"> between 0 and 100,</w:t>
      </w:r>
      <w:r w:rsidRPr="00022313">
        <w:t xml:space="preserve"> and continue until asked to stop.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710131" w:rsidTr="00710131">
        <w:tc>
          <w:tcPr>
            <w:tcW w:w="957" w:type="dxa"/>
          </w:tcPr>
          <w:p w:rsidR="00710131" w:rsidRDefault="00710131" w:rsidP="009C6C31">
            <w:r>
              <w:t>27</w:t>
            </w:r>
          </w:p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</w:tr>
      <w:tr w:rsidR="00710131" w:rsidTr="00710131">
        <w:tc>
          <w:tcPr>
            <w:tcW w:w="957" w:type="dxa"/>
          </w:tcPr>
          <w:p w:rsidR="00710131" w:rsidRDefault="00710131" w:rsidP="009C6C31">
            <w:r>
              <w:t>59</w:t>
            </w:r>
          </w:p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</w:tr>
      <w:tr w:rsidR="00710131" w:rsidTr="00710131">
        <w:tc>
          <w:tcPr>
            <w:tcW w:w="957" w:type="dxa"/>
          </w:tcPr>
          <w:p w:rsidR="00710131" w:rsidRDefault="00710131" w:rsidP="009C6C31">
            <w:r>
              <w:t>4</w:t>
            </w:r>
          </w:p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</w:tr>
      <w:tr w:rsidR="00710131" w:rsidTr="00710131">
        <w:tc>
          <w:tcPr>
            <w:tcW w:w="957" w:type="dxa"/>
          </w:tcPr>
          <w:p w:rsidR="00710131" w:rsidRDefault="00710131" w:rsidP="009C6C31">
            <w:r>
              <w:t>73</w:t>
            </w:r>
          </w:p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7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  <w:tc>
          <w:tcPr>
            <w:tcW w:w="958" w:type="dxa"/>
          </w:tcPr>
          <w:p w:rsidR="00710131" w:rsidRDefault="00710131" w:rsidP="009C6C31"/>
        </w:tc>
      </w:tr>
    </w:tbl>
    <w:p w:rsidR="00710131" w:rsidRDefault="008076AB" w:rsidP="009C6C31">
      <w:r>
        <w:br/>
      </w:r>
      <w:r w:rsidR="00710131">
        <w:t>Ask the student to begin counting backwards from a given number and continue until asked to stop.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710131" w:rsidTr="00710131">
        <w:tc>
          <w:tcPr>
            <w:tcW w:w="957" w:type="dxa"/>
          </w:tcPr>
          <w:p w:rsidR="00710131" w:rsidRDefault="00710131" w:rsidP="00710131">
            <w:r>
              <w:t>100</w:t>
            </w:r>
          </w:p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</w:tr>
      <w:tr w:rsidR="00710131" w:rsidTr="00710131">
        <w:tc>
          <w:tcPr>
            <w:tcW w:w="957" w:type="dxa"/>
          </w:tcPr>
          <w:p w:rsidR="00710131" w:rsidRDefault="00710131" w:rsidP="00710131">
            <w:r>
              <w:t>60</w:t>
            </w:r>
          </w:p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</w:tr>
      <w:tr w:rsidR="00710131" w:rsidTr="00710131">
        <w:tc>
          <w:tcPr>
            <w:tcW w:w="957" w:type="dxa"/>
          </w:tcPr>
          <w:p w:rsidR="00710131" w:rsidRDefault="00710131" w:rsidP="00710131">
            <w:r>
              <w:t>35</w:t>
            </w:r>
          </w:p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</w:tr>
      <w:tr w:rsidR="00710131" w:rsidTr="00710131">
        <w:tc>
          <w:tcPr>
            <w:tcW w:w="957" w:type="dxa"/>
          </w:tcPr>
          <w:p w:rsidR="00710131" w:rsidRDefault="00710131" w:rsidP="00710131">
            <w:r>
              <w:t>8</w:t>
            </w:r>
          </w:p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7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  <w:tc>
          <w:tcPr>
            <w:tcW w:w="958" w:type="dxa"/>
          </w:tcPr>
          <w:p w:rsidR="00710131" w:rsidRDefault="00710131" w:rsidP="00710131"/>
        </w:tc>
      </w:tr>
    </w:tbl>
    <w:p w:rsidR="00710131" w:rsidRDefault="00710131" w:rsidP="00710131">
      <w:r>
        <w:rPr>
          <w:b/>
        </w:rPr>
        <w:t>Assess N1.1a</w:t>
      </w:r>
      <w:r w:rsidR="00C816EC">
        <w:rPr>
          <w:b/>
        </w:rPr>
        <w:t>,</w:t>
      </w:r>
      <w:r>
        <w:rPr>
          <w:b/>
        </w:rPr>
        <w:t>b</w:t>
      </w:r>
      <w:r>
        <w:t xml:space="preserve"> Is the student able to recite forward by 1’s and backward by 1’s from a given number between 0 and 100?</w:t>
      </w:r>
    </w:p>
    <w:p w:rsidR="00710131" w:rsidRDefault="00710131" w:rsidP="00710131">
      <w:r>
        <w:rPr>
          <w:b/>
        </w:rPr>
        <w:t>Task 2-</w:t>
      </w:r>
      <w:r>
        <w:t xml:space="preserve"> Read the following numbers orally while </w:t>
      </w:r>
      <w:r w:rsidR="007E22CE">
        <w:t xml:space="preserve">the </w:t>
      </w:r>
      <w:r>
        <w:t xml:space="preserve">student records the numbers symbolically.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7E22CE" w:rsidTr="007E22CE">
        <w:tc>
          <w:tcPr>
            <w:tcW w:w="957" w:type="dxa"/>
          </w:tcPr>
          <w:p w:rsidR="007E22CE" w:rsidRDefault="007E22CE" w:rsidP="00710131">
            <w:r>
              <w:t>7</w:t>
            </w:r>
          </w:p>
        </w:tc>
        <w:tc>
          <w:tcPr>
            <w:tcW w:w="957" w:type="dxa"/>
          </w:tcPr>
          <w:p w:rsidR="007E22CE" w:rsidRDefault="007E22CE" w:rsidP="00710131">
            <w:r>
              <w:t>21</w:t>
            </w:r>
          </w:p>
        </w:tc>
        <w:tc>
          <w:tcPr>
            <w:tcW w:w="957" w:type="dxa"/>
          </w:tcPr>
          <w:p w:rsidR="007E22CE" w:rsidRDefault="007E22CE" w:rsidP="00710131">
            <w:r>
              <w:t>93</w:t>
            </w:r>
          </w:p>
        </w:tc>
        <w:tc>
          <w:tcPr>
            <w:tcW w:w="957" w:type="dxa"/>
          </w:tcPr>
          <w:p w:rsidR="007E22CE" w:rsidRDefault="007E22CE" w:rsidP="00710131">
            <w:r>
              <w:t>86</w:t>
            </w:r>
          </w:p>
        </w:tc>
        <w:tc>
          <w:tcPr>
            <w:tcW w:w="958" w:type="dxa"/>
          </w:tcPr>
          <w:p w:rsidR="007E22CE" w:rsidRDefault="007E22CE" w:rsidP="00710131">
            <w:r>
              <w:t>77</w:t>
            </w:r>
          </w:p>
        </w:tc>
        <w:tc>
          <w:tcPr>
            <w:tcW w:w="958" w:type="dxa"/>
          </w:tcPr>
          <w:p w:rsidR="007E22CE" w:rsidRDefault="007E22CE" w:rsidP="00710131">
            <w:r>
              <w:t>38</w:t>
            </w:r>
          </w:p>
        </w:tc>
        <w:tc>
          <w:tcPr>
            <w:tcW w:w="958" w:type="dxa"/>
          </w:tcPr>
          <w:p w:rsidR="007E22CE" w:rsidRDefault="007E22CE" w:rsidP="00710131">
            <w:r>
              <w:t>59</w:t>
            </w:r>
          </w:p>
        </w:tc>
        <w:tc>
          <w:tcPr>
            <w:tcW w:w="958" w:type="dxa"/>
          </w:tcPr>
          <w:p w:rsidR="007E22CE" w:rsidRDefault="007E22CE" w:rsidP="00710131">
            <w:r>
              <w:t>40</w:t>
            </w:r>
          </w:p>
        </w:tc>
        <w:tc>
          <w:tcPr>
            <w:tcW w:w="958" w:type="dxa"/>
          </w:tcPr>
          <w:p w:rsidR="007E22CE" w:rsidRDefault="007E22CE" w:rsidP="00710131">
            <w:r>
              <w:t>13</w:t>
            </w:r>
          </w:p>
        </w:tc>
        <w:tc>
          <w:tcPr>
            <w:tcW w:w="958" w:type="dxa"/>
          </w:tcPr>
          <w:p w:rsidR="007E22CE" w:rsidRDefault="007E22CE" w:rsidP="00710131">
            <w:r>
              <w:t>65</w:t>
            </w:r>
          </w:p>
        </w:tc>
      </w:tr>
    </w:tbl>
    <w:p w:rsidR="00012F57" w:rsidRDefault="00012F57" w:rsidP="00710131"/>
    <w:p w:rsidR="00710131" w:rsidRDefault="00710131" w:rsidP="00710131">
      <w:r>
        <w:rPr>
          <w:b/>
        </w:rPr>
        <w:t>Assess N1.1c</w:t>
      </w:r>
      <w:r>
        <w:t xml:space="preserve"> Is the student able to record a numeral 0-100 symbolically when it is presented orally?</w:t>
      </w:r>
    </w:p>
    <w:p w:rsidR="00710131" w:rsidRDefault="00710131" w:rsidP="00710131">
      <w:r>
        <w:rPr>
          <w:b/>
        </w:rPr>
        <w:t>Task 3-</w:t>
      </w:r>
      <w:r>
        <w:t xml:space="preserve"> Have the student read a list of numerals 0-100 that is presented symbolically.  Record student responses below.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710131" w:rsidTr="00710131">
        <w:tc>
          <w:tcPr>
            <w:tcW w:w="957" w:type="dxa"/>
          </w:tcPr>
          <w:p w:rsidR="00710131" w:rsidRDefault="00710131" w:rsidP="00710131">
            <w:r>
              <w:t>0</w:t>
            </w:r>
          </w:p>
        </w:tc>
        <w:tc>
          <w:tcPr>
            <w:tcW w:w="957" w:type="dxa"/>
          </w:tcPr>
          <w:p w:rsidR="00710131" w:rsidRDefault="00710131" w:rsidP="00710131">
            <w:r>
              <w:t>25</w:t>
            </w:r>
          </w:p>
        </w:tc>
        <w:tc>
          <w:tcPr>
            <w:tcW w:w="957" w:type="dxa"/>
          </w:tcPr>
          <w:p w:rsidR="00710131" w:rsidRDefault="00710131" w:rsidP="00710131">
            <w:r>
              <w:t>91</w:t>
            </w:r>
          </w:p>
        </w:tc>
        <w:tc>
          <w:tcPr>
            <w:tcW w:w="957" w:type="dxa"/>
          </w:tcPr>
          <w:p w:rsidR="00710131" w:rsidRDefault="00710131" w:rsidP="00710131">
            <w:r>
              <w:t>100</w:t>
            </w:r>
          </w:p>
        </w:tc>
        <w:tc>
          <w:tcPr>
            <w:tcW w:w="958" w:type="dxa"/>
          </w:tcPr>
          <w:p w:rsidR="00710131" w:rsidRDefault="00710131" w:rsidP="00710131">
            <w:r>
              <w:t>17</w:t>
            </w:r>
          </w:p>
        </w:tc>
        <w:tc>
          <w:tcPr>
            <w:tcW w:w="958" w:type="dxa"/>
          </w:tcPr>
          <w:p w:rsidR="00710131" w:rsidRDefault="00710131" w:rsidP="00710131">
            <w:r>
              <w:t>84</w:t>
            </w:r>
          </w:p>
        </w:tc>
        <w:tc>
          <w:tcPr>
            <w:tcW w:w="958" w:type="dxa"/>
          </w:tcPr>
          <w:p w:rsidR="00710131" w:rsidRDefault="00576BFE" w:rsidP="00710131">
            <w:r>
              <w:t>36</w:t>
            </w:r>
          </w:p>
        </w:tc>
        <w:tc>
          <w:tcPr>
            <w:tcW w:w="958" w:type="dxa"/>
          </w:tcPr>
          <w:p w:rsidR="00710131" w:rsidRDefault="00576BFE" w:rsidP="00710131">
            <w:r>
              <w:t>55</w:t>
            </w:r>
          </w:p>
        </w:tc>
        <w:tc>
          <w:tcPr>
            <w:tcW w:w="958" w:type="dxa"/>
          </w:tcPr>
          <w:p w:rsidR="00710131" w:rsidRDefault="00576BFE" w:rsidP="00710131">
            <w:r>
              <w:t>70</w:t>
            </w:r>
          </w:p>
        </w:tc>
        <w:tc>
          <w:tcPr>
            <w:tcW w:w="958" w:type="dxa"/>
          </w:tcPr>
          <w:p w:rsidR="00710131" w:rsidRDefault="00576BFE" w:rsidP="00710131">
            <w:r>
              <w:t>12</w:t>
            </w:r>
          </w:p>
        </w:tc>
      </w:tr>
    </w:tbl>
    <w:p w:rsidR="00710131" w:rsidRDefault="00710131" w:rsidP="00710131"/>
    <w:p w:rsidR="00576BFE" w:rsidRDefault="00576BFE" w:rsidP="00710131">
      <w:r>
        <w:rPr>
          <w:b/>
        </w:rPr>
        <w:t>Assess N1.1d</w:t>
      </w:r>
      <w:r>
        <w:t xml:space="preserve"> Is the student able to read numerals</w:t>
      </w:r>
      <w:r w:rsidR="00012CFC">
        <w:t xml:space="preserve"> (0-100)</w:t>
      </w:r>
      <w:r>
        <w:t xml:space="preserve"> orally when they are presented symbolically?</w:t>
      </w:r>
    </w:p>
    <w:p w:rsidR="00012CFC" w:rsidRDefault="00012CFC" w:rsidP="00710131">
      <w:r>
        <w:rPr>
          <w:b/>
        </w:rPr>
        <w:t>Task 4-</w:t>
      </w:r>
      <w:r>
        <w:t xml:space="preserve"> Provide a sequence of numbers in which </w:t>
      </w:r>
      <w:r w:rsidR="00E703D7">
        <w:t>the student</w:t>
      </w:r>
      <w:r>
        <w:t xml:space="preserve"> need</w:t>
      </w:r>
      <w:r w:rsidR="00E703D7">
        <w:t>s</w:t>
      </w:r>
      <w:r>
        <w:t xml:space="preserve"> to identify the missing number when skip counting by 2s up to 20, 5s up to 100, and 10s up to 100</w:t>
      </w:r>
      <w:r w:rsidR="00BD7892">
        <w:t xml:space="preserve"> starting at zero</w:t>
      </w:r>
      <w:r>
        <w:t>.</w:t>
      </w:r>
      <w:r w:rsidR="00741DD1">
        <w:t xml:space="preserve"> *Provide a sequence of numbers to have </w:t>
      </w:r>
      <w:r w:rsidR="00BD7892">
        <w:t>the stude</w:t>
      </w:r>
      <w:r w:rsidR="00741DD1">
        <w:t xml:space="preserve">nt able to skip count backwards.  *Provide a sequence of numbers to have </w:t>
      </w:r>
      <w:r w:rsidR="00BD7892">
        <w:t>the student able to skip count by 2s, 5s</w:t>
      </w:r>
      <w:r w:rsidR="009C14E4">
        <w:t>, or 10s when the cou</w:t>
      </w:r>
      <w:r w:rsidR="00E703D7">
        <w:t>nt starts at a numeral other tha</w:t>
      </w:r>
      <w:r w:rsidR="009C14E4">
        <w:t>n zero?</w:t>
      </w:r>
      <w:r w:rsidR="00741DD1">
        <w:t xml:space="preserve"> (*advanced application)</w:t>
      </w:r>
    </w:p>
    <w:p w:rsidR="00012CFC" w:rsidRDefault="00012CFC" w:rsidP="00710131">
      <w:r>
        <w:rPr>
          <w:b/>
        </w:rPr>
        <w:lastRenderedPageBreak/>
        <w:t>Assess N1.1e</w:t>
      </w:r>
      <w:r w:rsidR="00C816EC">
        <w:rPr>
          <w:b/>
        </w:rPr>
        <w:t>,</w:t>
      </w:r>
      <w:r>
        <w:rPr>
          <w:b/>
        </w:rPr>
        <w:t>f</w:t>
      </w:r>
      <w:r w:rsidR="00C816EC">
        <w:rPr>
          <w:b/>
        </w:rPr>
        <w:t>,</w:t>
      </w:r>
      <w:r>
        <w:rPr>
          <w:b/>
        </w:rPr>
        <w:t>g</w:t>
      </w:r>
      <w:r w:rsidR="00CB6673">
        <w:t xml:space="preserve">, </w:t>
      </w:r>
      <w:r w:rsidR="00CB6673" w:rsidRPr="00CB6673">
        <w:rPr>
          <w:b/>
        </w:rPr>
        <w:t>N2.1i</w:t>
      </w:r>
      <w:r w:rsidR="00C816EC">
        <w:rPr>
          <w:b/>
        </w:rPr>
        <w:t>,</w:t>
      </w:r>
      <w:r w:rsidR="00CB6673">
        <w:rPr>
          <w:b/>
        </w:rPr>
        <w:t>l</w:t>
      </w:r>
      <w:r w:rsidR="00CB6673">
        <w:t xml:space="preserve">  </w:t>
      </w:r>
      <w:r>
        <w:t>Is the student able to skip count by 2s to 20, by 5s to 100 and by 10s to 100?</w:t>
      </w:r>
      <w:r w:rsidR="00741DD1">
        <w:t xml:space="preserve"> *Is the student able to skip count backwards?  *Is the student able to skip count by 2s, 5s, or 10s when the count starts at a numeral other than one?  (*advanced application)</w:t>
      </w:r>
    </w:p>
    <w:p w:rsidR="00BD7892" w:rsidRDefault="00BD7892" w:rsidP="007101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BD7892" w:rsidRPr="0083214B" w:rsidTr="00BD7892">
        <w:tc>
          <w:tcPr>
            <w:tcW w:w="9576" w:type="dxa"/>
            <w:gridSpan w:val="2"/>
          </w:tcPr>
          <w:p w:rsidR="00BD7892" w:rsidRPr="00E56C13" w:rsidRDefault="00BD7892" w:rsidP="00BD78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BD7892" w:rsidRPr="0083214B" w:rsidTr="00BD7892">
        <w:tc>
          <w:tcPr>
            <w:tcW w:w="4857" w:type="dxa"/>
          </w:tcPr>
          <w:p w:rsidR="00BD7892" w:rsidRPr="00E56C13" w:rsidRDefault="00BD7892" w:rsidP="00BD789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BD7892" w:rsidRPr="00E56C13" w:rsidRDefault="00BD7892" w:rsidP="00BD789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BD7892" w:rsidRPr="0083214B" w:rsidTr="00BD7892">
        <w:trPr>
          <w:trHeight w:val="377"/>
        </w:trPr>
        <w:tc>
          <w:tcPr>
            <w:tcW w:w="9576" w:type="dxa"/>
            <w:gridSpan w:val="2"/>
          </w:tcPr>
          <w:p w:rsidR="007C3533" w:rsidRDefault="00BD7892" w:rsidP="007C3533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 w:rsidR="007C3533">
              <w:rPr>
                <w:rFonts w:eastAsia="Times New Roman" w:cs="Times New Roman"/>
                <w:bCs/>
                <w:sz w:val="24"/>
                <w:szCs w:val="24"/>
              </w:rPr>
              <w:t>N1.1 Say the number sequence, 0-100, by:</w:t>
            </w:r>
          </w:p>
          <w:p w:rsidR="007C3533" w:rsidRPr="007C3533" w:rsidRDefault="007C3533" w:rsidP="007C353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</w:rPr>
            </w:pPr>
            <w:r w:rsidRPr="007C3533">
              <w:rPr>
                <w:rFonts w:eastAsia="Times New Roman" w:cs="Times New Roman"/>
                <w:bCs/>
                <w:sz w:val="24"/>
                <w:szCs w:val="24"/>
              </w:rPr>
              <w:t>1s forward and backward between any two given numbers</w:t>
            </w:r>
          </w:p>
          <w:p w:rsidR="007C3533" w:rsidRPr="007C3533" w:rsidRDefault="007C3533" w:rsidP="007C353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</w:rPr>
            </w:pPr>
            <w:r w:rsidRPr="007C3533">
              <w:rPr>
                <w:rFonts w:eastAsia="Times New Roman" w:cs="Times New Roman"/>
                <w:bCs/>
                <w:sz w:val="24"/>
                <w:szCs w:val="24"/>
              </w:rPr>
              <w:t>2s to twenty forward starting at 0</w:t>
            </w:r>
          </w:p>
          <w:p w:rsidR="007C3533" w:rsidRPr="007C3533" w:rsidRDefault="007C3533" w:rsidP="007C353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</w:rPr>
            </w:pPr>
            <w:r w:rsidRPr="007C3533">
              <w:rPr>
                <w:rFonts w:eastAsia="Times New Roman" w:cs="Times New Roman"/>
                <w:bCs/>
                <w:sz w:val="24"/>
                <w:szCs w:val="24"/>
              </w:rPr>
              <w:t>5s and 10s to 100 forward starting at 0</w:t>
            </w:r>
          </w:p>
        </w:tc>
      </w:tr>
    </w:tbl>
    <w:p w:rsidR="00BD7892" w:rsidRDefault="00A21F7F" w:rsidP="0071013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E1602" wp14:editId="132EFC08">
                <wp:simplePos x="0" y="0"/>
                <wp:positionH relativeFrom="column">
                  <wp:posOffset>3306445</wp:posOffset>
                </wp:positionH>
                <wp:positionV relativeFrom="paragraph">
                  <wp:posOffset>73025</wp:posOffset>
                </wp:positionV>
                <wp:extent cx="921385" cy="258445"/>
                <wp:effectExtent l="10795" t="8890" r="1079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864" w:rsidRDefault="004E5864" w:rsidP="00BD7892">
                            <w:pPr>
                              <w:jc w:val="center"/>
                            </w:pPr>
                            <w:r>
                              <w:t>target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260.35pt;margin-top:5.75pt;width:72.5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" fillcolor="#d8d8d8 [2732]">
                <v:textbox>
                  <w:txbxContent>
                    <w:p w:rsidR="004E5864" w:rsidRDefault="004E5864" w:rsidP="00BD7892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D7892" w:rsidRPr="00012CFC" w:rsidRDefault="00BD7892" w:rsidP="00710131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D7892" w:rsidTr="00BD7892">
        <w:tc>
          <w:tcPr>
            <w:tcW w:w="2394" w:type="dxa"/>
          </w:tcPr>
          <w:p w:rsidR="00BD7892" w:rsidRPr="00740777" w:rsidRDefault="00BD7892" w:rsidP="00BD7892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BD7892" w:rsidRPr="00740777" w:rsidRDefault="00BD7892" w:rsidP="00BD7892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D7892" w:rsidRPr="00740777" w:rsidRDefault="00BD7892" w:rsidP="00BD7892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BD7892" w:rsidRPr="00740777" w:rsidRDefault="00BD7892" w:rsidP="00BD7892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BD7892" w:rsidTr="00BD7892">
        <w:tc>
          <w:tcPr>
            <w:tcW w:w="2394" w:type="dxa"/>
          </w:tcPr>
          <w:p w:rsidR="00BD7892" w:rsidRPr="0079291E" w:rsidRDefault="00BD7892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BD7892" w:rsidRDefault="00BD7892" w:rsidP="00BD7892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BD7892" w:rsidRPr="0079291E" w:rsidRDefault="00BD7892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BD7892" w:rsidRPr="00AF5354" w:rsidRDefault="00BD7892" w:rsidP="00BD7892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D7892" w:rsidRPr="0079291E" w:rsidRDefault="00BD7892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BD7892" w:rsidRPr="00AF5354" w:rsidRDefault="00BD7892" w:rsidP="00BD789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BD7892" w:rsidRPr="00AF5354" w:rsidRDefault="00BD7892" w:rsidP="00BD7892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D7892" w:rsidRPr="0079291E" w:rsidRDefault="00BD7892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BD7892" w:rsidRPr="00AF5354" w:rsidRDefault="00BD7892" w:rsidP="00BD7892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BD7892" w:rsidTr="00BD7892">
        <w:tc>
          <w:tcPr>
            <w:tcW w:w="2394" w:type="dxa"/>
          </w:tcPr>
          <w:p w:rsidR="00BD7892" w:rsidRPr="0079291E" w:rsidRDefault="00BD7892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BD7892" w:rsidRPr="0079291E" w:rsidRDefault="00BD7892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BD7892" w:rsidRPr="0079291E" w:rsidRDefault="009C14E4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N1.1a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f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2394" w:type="dxa"/>
          </w:tcPr>
          <w:p w:rsidR="00BD7892" w:rsidRPr="0079291E" w:rsidRDefault="009C14E4" w:rsidP="00BD789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N1.1a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f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>,g</w:t>
            </w:r>
            <w:r w:rsidR="002D7491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7D725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N2.1i</w:t>
            </w:r>
            <w:r w:rsidR="00CB6673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</w:t>
            </w:r>
          </w:p>
        </w:tc>
      </w:tr>
      <w:tr w:rsidR="00BD7892" w:rsidTr="00BD7892">
        <w:tc>
          <w:tcPr>
            <w:tcW w:w="2394" w:type="dxa"/>
          </w:tcPr>
          <w:p w:rsidR="00BD7892" w:rsidRDefault="00220414" w:rsidP="00BD7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is able to:</w:t>
            </w:r>
          </w:p>
          <w:p w:rsidR="00224930" w:rsidRDefault="00224930" w:rsidP="00224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-count forward and backward by 1s between two whole numbers 0-20.</w:t>
            </w:r>
          </w:p>
          <w:p w:rsidR="00224930" w:rsidRDefault="00224930" w:rsidP="0022493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-identify numbers 0-20 symbolically on a hundreds chart when presented orally </w:t>
            </w:r>
          </w:p>
          <w:p w:rsidR="00224930" w:rsidRDefault="00224930" w:rsidP="0022493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numbers 0-20 when presented symbolically with prompting</w:t>
            </w:r>
          </w:p>
          <w:p w:rsidR="00224930" w:rsidRDefault="00224930" w:rsidP="00224930">
            <w:pPr>
              <w:rPr>
                <w:sz w:val="20"/>
                <w:szCs w:val="20"/>
              </w:rPr>
            </w:pPr>
          </w:p>
          <w:p w:rsidR="00224930" w:rsidRPr="00EA2131" w:rsidRDefault="00224930" w:rsidP="00224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struggles to skip count.</w:t>
            </w:r>
          </w:p>
        </w:tc>
        <w:tc>
          <w:tcPr>
            <w:tcW w:w="2394" w:type="dxa"/>
          </w:tcPr>
          <w:p w:rsidR="007277AB" w:rsidRDefault="007277AB" w:rsidP="007277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7277AB" w:rsidRDefault="007277AB" w:rsidP="007277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-count forward and backward by 1s between two whole numbers 0-100</w:t>
            </w:r>
          </w:p>
          <w:p w:rsidR="007277AB" w:rsidRDefault="007277AB" w:rsidP="007277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-identify numbers 0-100 symbolically on a hundreds chart when presented orally </w:t>
            </w:r>
          </w:p>
          <w:p w:rsidR="007277AB" w:rsidRDefault="007277AB" w:rsidP="007277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numbers 0-100 when presented symbolically with prompting</w:t>
            </w:r>
          </w:p>
          <w:p w:rsidR="007277AB" w:rsidRDefault="007277AB" w:rsidP="007277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-skip count starting at 0 by 2s to 20, 5s to 100 and 10 to 100 with prompting</w:t>
            </w:r>
          </w:p>
          <w:p w:rsidR="00BD7892" w:rsidRPr="0015081E" w:rsidRDefault="00BD7892" w:rsidP="00BD7892">
            <w:pPr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BD7892" w:rsidRDefault="009C14E4" w:rsidP="00BD789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9C14E4" w:rsidRDefault="009C14E4" w:rsidP="00BD789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-count forward and backward by 1s between two whole numbers 0-100</w:t>
            </w:r>
          </w:p>
          <w:p w:rsidR="009C14E4" w:rsidRDefault="009C14E4" w:rsidP="00BD789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-record numbers 0-100 symbolically when presented orally </w:t>
            </w:r>
          </w:p>
          <w:p w:rsidR="009C14E4" w:rsidRDefault="009C14E4" w:rsidP="00BD789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numbers 0-100 when presented symbolically</w:t>
            </w:r>
          </w:p>
          <w:p w:rsidR="009C14E4" w:rsidRDefault="009C14E4" w:rsidP="00BD789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-skip count starting at 0 by 2s to 20, 5s to 100 and 10 to 100</w:t>
            </w:r>
          </w:p>
          <w:p w:rsidR="009C14E4" w:rsidRPr="0015081E" w:rsidRDefault="009C14E4" w:rsidP="00BD789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230D15" w:rsidRDefault="00230D15" w:rsidP="00230D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230D15" w:rsidRDefault="00230D15" w:rsidP="00230D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-count forward and backward by 1s between two whole numbers 0-100</w:t>
            </w:r>
          </w:p>
          <w:p w:rsidR="00230D15" w:rsidRDefault="00230D15" w:rsidP="00230D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-record numbers 0-100 symbolically when presented orally </w:t>
            </w:r>
          </w:p>
          <w:p w:rsidR="00230D15" w:rsidRDefault="00230D15" w:rsidP="00230D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numbers 0-100 when presented symbolically</w:t>
            </w:r>
          </w:p>
          <w:p w:rsidR="00230D15" w:rsidRDefault="00230D15" w:rsidP="00230D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-skip count forward and backward starting at 0 by 2s to 20, 5s to 100 and 10 to 100</w:t>
            </w:r>
          </w:p>
          <w:p w:rsidR="00230D15" w:rsidRDefault="00230D15" w:rsidP="00230D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-skip count forward </w:t>
            </w:r>
            <w:r w:rsidR="001D0010">
              <w:rPr>
                <w:rFonts w:eastAsia="Calibri" w:cs="Times New Roman"/>
                <w:sz w:val="20"/>
                <w:szCs w:val="20"/>
              </w:rPr>
              <w:t xml:space="preserve">or backward </w:t>
            </w:r>
            <w:r>
              <w:rPr>
                <w:rFonts w:eastAsia="Calibri" w:cs="Times New Roman"/>
                <w:sz w:val="20"/>
                <w:szCs w:val="20"/>
              </w:rPr>
              <w:t xml:space="preserve">by 2s, 5s, and 10s </w:t>
            </w:r>
            <w:r w:rsidR="00911AE8">
              <w:rPr>
                <w:rFonts w:eastAsia="Calibri" w:cs="Times New Roman"/>
                <w:sz w:val="20"/>
                <w:szCs w:val="20"/>
              </w:rPr>
              <w:t>beginning</w:t>
            </w:r>
            <w:r>
              <w:rPr>
                <w:rFonts w:eastAsia="Calibri" w:cs="Times New Roman"/>
                <w:sz w:val="20"/>
                <w:szCs w:val="20"/>
              </w:rPr>
              <w:t xml:space="preserve"> at any given number.</w:t>
            </w:r>
          </w:p>
          <w:p w:rsidR="00BD7892" w:rsidRPr="0015081E" w:rsidRDefault="00BD7892" w:rsidP="00BD7892">
            <w:pPr>
              <w:rPr>
                <w:b/>
                <w:sz w:val="20"/>
                <w:szCs w:val="20"/>
              </w:rPr>
            </w:pPr>
          </w:p>
        </w:tc>
      </w:tr>
      <w:tr w:rsidR="00BD7892" w:rsidTr="00BD7892">
        <w:tc>
          <w:tcPr>
            <w:tcW w:w="2394" w:type="dxa"/>
          </w:tcPr>
          <w:p w:rsidR="00BD7892" w:rsidRPr="0015081E" w:rsidRDefault="00122866" w:rsidP="00122866">
            <w:pPr>
              <w:rPr>
                <w:sz w:val="20"/>
                <w:szCs w:val="20"/>
              </w:rPr>
            </w:pPr>
            <w:r w:rsidRPr="00224930">
              <w:rPr>
                <w:sz w:val="20"/>
                <w:szCs w:val="20"/>
              </w:rPr>
              <w:t>I can coun</w:t>
            </w:r>
            <w:r>
              <w:rPr>
                <w:sz w:val="20"/>
                <w:szCs w:val="20"/>
              </w:rPr>
              <w:t xml:space="preserve">t forwards between two numbers </w:t>
            </w:r>
            <w:r w:rsidRPr="00224930">
              <w:rPr>
                <w:sz w:val="20"/>
                <w:szCs w:val="20"/>
              </w:rPr>
              <w:t xml:space="preserve">0 to </w:t>
            </w:r>
            <w:r>
              <w:rPr>
                <w:sz w:val="20"/>
                <w:szCs w:val="20"/>
              </w:rPr>
              <w:t>20</w:t>
            </w:r>
            <w:r w:rsidRPr="00224930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count backwards between two numbers</w:t>
            </w:r>
            <w:r>
              <w:rPr>
                <w:sz w:val="20"/>
                <w:szCs w:val="20"/>
              </w:rPr>
              <w:t xml:space="preserve"> 0-20</w:t>
            </w:r>
            <w:r w:rsidRPr="002249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 can find numbers 0-20 on a </w:t>
            </w:r>
            <w:r>
              <w:rPr>
                <w:sz w:val="20"/>
                <w:szCs w:val="20"/>
              </w:rPr>
              <w:lastRenderedPageBreak/>
              <w:t>hundreds chart when they are read out loud to me.</w:t>
            </w:r>
          </w:p>
        </w:tc>
        <w:tc>
          <w:tcPr>
            <w:tcW w:w="2394" w:type="dxa"/>
          </w:tcPr>
          <w:p w:rsidR="00BD7892" w:rsidRPr="0015081E" w:rsidRDefault="00122866" w:rsidP="00BD7892">
            <w:pPr>
              <w:rPr>
                <w:sz w:val="20"/>
                <w:szCs w:val="20"/>
              </w:rPr>
            </w:pPr>
            <w:r w:rsidRPr="00224930">
              <w:rPr>
                <w:sz w:val="20"/>
                <w:szCs w:val="20"/>
              </w:rPr>
              <w:lastRenderedPageBreak/>
              <w:t>I can count forwards between two numbers (0 to 100).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count backwards between two numbers.</w:t>
            </w:r>
            <w:r>
              <w:rPr>
                <w:sz w:val="20"/>
                <w:szCs w:val="20"/>
              </w:rPr>
              <w:t xml:space="preserve"> I can find numbers on a hundreds </w:t>
            </w:r>
            <w:r>
              <w:rPr>
                <w:sz w:val="20"/>
                <w:szCs w:val="20"/>
              </w:rPr>
              <w:lastRenderedPageBreak/>
              <w:t>chart when they are read out loud to me. When my teacher helps</w:t>
            </w:r>
            <w:r w:rsidR="001D00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can skip count </w:t>
            </w:r>
            <w:r>
              <w:rPr>
                <w:rFonts w:eastAsia="Calibri" w:cs="Times New Roman"/>
                <w:sz w:val="20"/>
                <w:szCs w:val="20"/>
              </w:rPr>
              <w:t>starting at 0 by 2s to 20, 5s to 100 and 10 to 100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BD7892" w:rsidRPr="0015081E" w:rsidRDefault="00224930" w:rsidP="00BD7892">
            <w:pPr>
              <w:rPr>
                <w:sz w:val="20"/>
                <w:szCs w:val="20"/>
              </w:rPr>
            </w:pPr>
            <w:r w:rsidRPr="00224930">
              <w:rPr>
                <w:sz w:val="20"/>
                <w:szCs w:val="20"/>
              </w:rPr>
              <w:lastRenderedPageBreak/>
              <w:t>I can count forwards between two numbers (0 to 100).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count backwards between two numbers.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 xml:space="preserve">I can </w:t>
            </w:r>
            <w:r w:rsidR="001D0010">
              <w:rPr>
                <w:sz w:val="20"/>
                <w:szCs w:val="20"/>
              </w:rPr>
              <w:t xml:space="preserve">read and </w:t>
            </w:r>
            <w:r w:rsidRPr="00224930">
              <w:rPr>
                <w:sz w:val="20"/>
                <w:szCs w:val="20"/>
              </w:rPr>
              <w:t xml:space="preserve">write the numbers up to </w:t>
            </w:r>
            <w:r w:rsidRPr="00224930">
              <w:rPr>
                <w:sz w:val="20"/>
                <w:szCs w:val="20"/>
              </w:rPr>
              <w:lastRenderedPageBreak/>
              <w:t>100.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skip count by 2s from 0 to 20.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skip count by 5s from 0 to 100.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skip count by 10s from 0 to 100.</w:t>
            </w:r>
          </w:p>
        </w:tc>
        <w:tc>
          <w:tcPr>
            <w:tcW w:w="2394" w:type="dxa"/>
          </w:tcPr>
          <w:p w:rsidR="00BD7892" w:rsidRPr="0015081E" w:rsidRDefault="008F0CBC" w:rsidP="00911AE8">
            <w:pPr>
              <w:rPr>
                <w:sz w:val="20"/>
                <w:szCs w:val="20"/>
              </w:rPr>
            </w:pPr>
            <w:r w:rsidRPr="00224930">
              <w:rPr>
                <w:sz w:val="20"/>
                <w:szCs w:val="20"/>
              </w:rPr>
              <w:lastRenderedPageBreak/>
              <w:t>I can count forwards between two numbers (0 to 100).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count backwards between two numbers.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 xml:space="preserve">I can </w:t>
            </w:r>
            <w:r w:rsidR="001D0010">
              <w:rPr>
                <w:sz w:val="20"/>
                <w:szCs w:val="20"/>
              </w:rPr>
              <w:t xml:space="preserve">read and </w:t>
            </w:r>
            <w:r w:rsidRPr="00224930">
              <w:rPr>
                <w:sz w:val="20"/>
                <w:szCs w:val="20"/>
              </w:rPr>
              <w:t xml:space="preserve">write the numbers up to </w:t>
            </w:r>
            <w:r w:rsidRPr="00224930">
              <w:rPr>
                <w:sz w:val="20"/>
                <w:szCs w:val="20"/>
              </w:rPr>
              <w:lastRenderedPageBreak/>
              <w:t>100.</w:t>
            </w:r>
            <w:r>
              <w:t xml:space="preserve"> </w:t>
            </w:r>
            <w:r w:rsidRPr="00224930">
              <w:rPr>
                <w:sz w:val="20"/>
                <w:szCs w:val="20"/>
              </w:rPr>
              <w:t>I can skip count</w:t>
            </w:r>
            <w:r>
              <w:rPr>
                <w:sz w:val="20"/>
                <w:szCs w:val="20"/>
              </w:rPr>
              <w:t xml:space="preserve"> forward and backward</w:t>
            </w:r>
            <w:r w:rsidRPr="00224930">
              <w:rPr>
                <w:sz w:val="20"/>
                <w:szCs w:val="20"/>
              </w:rPr>
              <w:t xml:space="preserve"> by</w:t>
            </w:r>
            <w:r w:rsidR="00911AE8">
              <w:rPr>
                <w:sz w:val="20"/>
                <w:szCs w:val="20"/>
              </w:rPr>
              <w:t xml:space="preserve"> 2s, 5s, and</w:t>
            </w:r>
            <w:r w:rsidRPr="00224930">
              <w:rPr>
                <w:sz w:val="20"/>
                <w:szCs w:val="20"/>
              </w:rPr>
              <w:t xml:space="preserve"> 10s from 0 to 100.</w:t>
            </w:r>
            <w:r w:rsidR="00911AE8">
              <w:rPr>
                <w:sz w:val="20"/>
                <w:szCs w:val="20"/>
              </w:rPr>
              <w:t xml:space="preserve"> I can skip count forward </w:t>
            </w:r>
            <w:r w:rsidR="001D0010">
              <w:rPr>
                <w:sz w:val="20"/>
                <w:szCs w:val="20"/>
              </w:rPr>
              <w:t xml:space="preserve">or backward </w:t>
            </w:r>
            <w:r w:rsidR="00911AE8">
              <w:rPr>
                <w:sz w:val="20"/>
                <w:szCs w:val="20"/>
              </w:rPr>
              <w:t>by 2s, 5s, and 10s beginning at any given number.</w:t>
            </w:r>
          </w:p>
        </w:tc>
      </w:tr>
    </w:tbl>
    <w:p w:rsidR="00A21F7F" w:rsidRPr="00710131" w:rsidRDefault="00A21F7F" w:rsidP="00710131"/>
    <w:sectPr w:rsidR="00A21F7F" w:rsidRPr="00710131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64" w:rsidRDefault="004E5864" w:rsidP="008646CB">
      <w:pPr>
        <w:spacing w:after="0" w:line="240" w:lineRule="auto"/>
      </w:pPr>
      <w:r>
        <w:separator/>
      </w:r>
    </w:p>
  </w:endnote>
  <w:endnote w:type="continuationSeparator" w:id="0">
    <w:p w:rsidR="004E5864" w:rsidRDefault="004E5864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64" w:rsidRDefault="004E5864" w:rsidP="008646CB">
      <w:pPr>
        <w:spacing w:after="0" w:line="240" w:lineRule="auto"/>
      </w:pPr>
      <w:r>
        <w:separator/>
      </w:r>
    </w:p>
  </w:footnote>
  <w:footnote w:type="continuationSeparator" w:id="0">
    <w:p w:rsidR="004E5864" w:rsidRDefault="004E5864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64" w:rsidRDefault="004E58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57759465" wp14:editId="54CACFE4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1150487255"/>
                              <w:placeholder>
                                <w:docPart w:val="B576631E563C4E76B7EE74E827BB28D8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E5864" w:rsidRDefault="00F95EEE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864" w:rsidRPr="006A71E3" w:rsidRDefault="004E5864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71E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Performance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" o:allowincell="f">
              <v:rect id="Rectangle 5" o:spid="_x0000_s1028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VOsMA&#10;AADaAAAADwAAAGRycy9kb3ducmV2LnhtbESPQWvCQBSE7wX/w/IEL6VumkOraTYiRcEeGxV7fGRf&#10;k2D2bdhdY/TXdwuFHoeZ+YbJV6PpxEDOt5YVPM8TEMSV1S3XCg777dMChA/IGjvLpOBGHlbF5CHH&#10;TNsrf9JQhlpECPsMFTQh9JmUvmrIoJ/bnjh639YZDFG6WmqH1wg3nUyT5EUabDkuNNjTe0PVubwY&#10;BbU+punh9LUZ3G1Z8rJ6vB8/SKnZdFy/gQg0hv/wX3unFbz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9VOsMAAADaAAAADwAAAAAAAAAAAAAAAACYAgAAZHJzL2Rv&#10;d25yZXYueG1sUEsFBgAAAAAEAAQA9QAAAIgDAAAAAA=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1150487255"/>
                        <w:placeholder>
                          <w:docPart w:val="B576631E563C4E76B7EE74E827BB28D8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E5864" w:rsidRDefault="00F95EEE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29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lhbsA&#10;AADaAAAADwAAAGRycy9kb3ducmV2LnhtbERPSwrCMBDdC94hjOBOUxVEq1FEEdyI+MH10IxtsZmU&#10;JGr19GYhuHy8/3zZmEo8yfnSsoJBPwFBnFldcq7gct72JiB8QNZYWSYFb/KwXLRbc0y1ffGRnqeQ&#10;ixjCPkUFRQh1KqXPCjLo+7YmjtzNOoMhQpdL7fAVw00lh0kylgZLjg0F1rQuKLufHkbB5iA31+bz&#10;vl/sh0dHGuydn06V6naa1QxEoCb8xT/3TiuIW+OVe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t95YW7AAAA2gAAAA8AAAAAAAAAAAAAAAAAmAIAAGRycy9kb3ducmV2Lnht&#10;bFBLBQYAAAAABAAEAPUAAACAAwAAAAA=&#10;" fillcolor="#00b050" stroked="f" strokecolor="white [3212]" strokeweight="2pt">
                <v:textbox>
                  <w:txbxContent>
                    <w:p w:rsidR="004E5864" w:rsidRPr="006A71E3" w:rsidRDefault="004E5864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A71E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Performance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rect>
              <v:rect id="Rectangle 7" o:spid="_x0000_s1030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12CFC"/>
    <w:rsid w:val="00012F57"/>
    <w:rsid w:val="00022313"/>
    <w:rsid w:val="000C5A84"/>
    <w:rsid w:val="00122866"/>
    <w:rsid w:val="00141395"/>
    <w:rsid w:val="00162E77"/>
    <w:rsid w:val="00176999"/>
    <w:rsid w:val="00177815"/>
    <w:rsid w:val="001A0685"/>
    <w:rsid w:val="001D0010"/>
    <w:rsid w:val="001D66F4"/>
    <w:rsid w:val="00220414"/>
    <w:rsid w:val="00224930"/>
    <w:rsid w:val="00230D15"/>
    <w:rsid w:val="0023479A"/>
    <w:rsid w:val="002A6CCD"/>
    <w:rsid w:val="002B2F81"/>
    <w:rsid w:val="002D7491"/>
    <w:rsid w:val="00393D79"/>
    <w:rsid w:val="003E2438"/>
    <w:rsid w:val="003F3FF2"/>
    <w:rsid w:val="004342AB"/>
    <w:rsid w:val="00445873"/>
    <w:rsid w:val="004E5864"/>
    <w:rsid w:val="004F7633"/>
    <w:rsid w:val="00576BFE"/>
    <w:rsid w:val="0059320C"/>
    <w:rsid w:val="00602C60"/>
    <w:rsid w:val="006A71E3"/>
    <w:rsid w:val="006F12B3"/>
    <w:rsid w:val="00710131"/>
    <w:rsid w:val="007277AB"/>
    <w:rsid w:val="00741DD1"/>
    <w:rsid w:val="00776409"/>
    <w:rsid w:val="007A2F29"/>
    <w:rsid w:val="007C3533"/>
    <w:rsid w:val="007D7256"/>
    <w:rsid w:val="007E22CE"/>
    <w:rsid w:val="008076AB"/>
    <w:rsid w:val="0083359C"/>
    <w:rsid w:val="008646CB"/>
    <w:rsid w:val="008F0CBC"/>
    <w:rsid w:val="00911AE8"/>
    <w:rsid w:val="00913144"/>
    <w:rsid w:val="009B3040"/>
    <w:rsid w:val="009C14E4"/>
    <w:rsid w:val="009C6C31"/>
    <w:rsid w:val="00A21F7F"/>
    <w:rsid w:val="00A85348"/>
    <w:rsid w:val="00AC2B01"/>
    <w:rsid w:val="00B55FD9"/>
    <w:rsid w:val="00B92FFF"/>
    <w:rsid w:val="00BD7892"/>
    <w:rsid w:val="00C456CF"/>
    <w:rsid w:val="00C816EC"/>
    <w:rsid w:val="00CB6673"/>
    <w:rsid w:val="00CE690B"/>
    <w:rsid w:val="00E32088"/>
    <w:rsid w:val="00E40277"/>
    <w:rsid w:val="00E42AB9"/>
    <w:rsid w:val="00E703D7"/>
    <w:rsid w:val="00ED2E33"/>
    <w:rsid w:val="00F9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64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710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5864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4E5864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5864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64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710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5864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4E5864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5864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76631E563C4E76B7EE74E827BB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7125-9D29-47AA-BAC0-2B45905CAC1A}"/>
      </w:docPartPr>
      <w:docPartBody>
        <w:p w:rsidR="004E2AD5" w:rsidRDefault="004E2AD5" w:rsidP="004E2AD5">
          <w:pPr>
            <w:pStyle w:val="B576631E563C4E76B7EE74E827BB28D8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401487"/>
    <w:rsid w:val="00447DF8"/>
    <w:rsid w:val="00454B86"/>
    <w:rsid w:val="004E2AD5"/>
    <w:rsid w:val="005C5E55"/>
    <w:rsid w:val="006F02B0"/>
    <w:rsid w:val="007016D5"/>
    <w:rsid w:val="00A65960"/>
    <w:rsid w:val="00BF74B4"/>
    <w:rsid w:val="00D262DE"/>
    <w:rsid w:val="00DB24C4"/>
    <w:rsid w:val="00DE7D44"/>
    <w:rsid w:val="00DF0654"/>
    <w:rsid w:val="00F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B576631E563C4E76B7EE74E827BB28D8">
    <w:name w:val="B576631E563C4E76B7EE74E827BB28D8"/>
    <w:rsid w:val="004E2AD5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5CAB-1C67-43F2-A4FA-A5B91F2A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 Number Strand</dc:title>
  <dc:creator>cyouckcousins</dc:creator>
  <cp:lastModifiedBy>schlamp.lisa</cp:lastModifiedBy>
  <cp:revision>3</cp:revision>
  <cp:lastPrinted>2011-08-26T15:04:00Z</cp:lastPrinted>
  <dcterms:created xsi:type="dcterms:W3CDTF">2012-07-10T15:37:00Z</dcterms:created>
  <dcterms:modified xsi:type="dcterms:W3CDTF">2012-07-10T15:39:00Z</dcterms:modified>
</cp:coreProperties>
</file>